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6BAD" w:rsidRDefault="00736BAD" w:rsidP="0004415F">
      <w:pPr>
        <w:pStyle w:val="ab"/>
        <w:spacing w:line="240" w:lineRule="exact"/>
        <w:ind w:right="140"/>
        <w:rPr>
          <w:rFonts w:ascii="Times New Roman" w:hAnsi="Times New Roman"/>
          <w:color w:val="000000" w:themeColor="text1"/>
          <w:sz w:val="20"/>
        </w:rPr>
      </w:pPr>
      <w:bookmarkStart w:id="0" w:name="_GoBack"/>
      <w:bookmarkEnd w:id="0"/>
    </w:p>
    <w:p w:rsidR="00736BAD" w:rsidRDefault="00736BAD">
      <w:pPr>
        <w:pStyle w:val="ab"/>
        <w:spacing w:line="240" w:lineRule="exact"/>
        <w:ind w:right="140"/>
        <w:jc w:val="center"/>
        <w:rPr>
          <w:rFonts w:ascii="Times New Roman" w:hAnsi="Times New Roman"/>
          <w:color w:val="000000" w:themeColor="text1"/>
          <w:sz w:val="20"/>
        </w:rPr>
      </w:pPr>
    </w:p>
    <w:p w:rsidR="00736BAD" w:rsidRDefault="0004415F">
      <w:pPr>
        <w:pStyle w:val="ab"/>
        <w:spacing w:line="240" w:lineRule="exact"/>
        <w:ind w:right="140"/>
        <w:jc w:val="center"/>
        <w:rPr>
          <w:rFonts w:ascii="Times New Roman" w:hAnsi="Times New Roman"/>
          <w:color w:val="000000" w:themeColor="text1"/>
          <w:sz w:val="20"/>
        </w:rPr>
      </w:pPr>
      <w:r>
        <w:rPr>
          <w:rFonts w:ascii="Times New Roman" w:hAnsi="Times New Roman"/>
          <w:b/>
          <w:color w:val="000000" w:themeColor="text1"/>
          <w:sz w:val="28"/>
        </w:rPr>
        <w:t>«</w:t>
      </w:r>
      <w:r>
        <w:rPr>
          <w:rFonts w:ascii="Times New Roman" w:hAnsi="Times New Roman"/>
          <w:b/>
          <w:sz w:val="28"/>
        </w:rPr>
        <w:t>Уголовная ответственность за преступления в сфере незаконного оборота оружия</w:t>
      </w:r>
      <w:r>
        <w:rPr>
          <w:rFonts w:ascii="Times New Roman" w:hAnsi="Times New Roman"/>
          <w:b/>
          <w:color w:val="000000" w:themeColor="text1"/>
          <w:sz w:val="28"/>
        </w:rPr>
        <w:t xml:space="preserve">» </w:t>
      </w:r>
    </w:p>
    <w:p w:rsidR="00736BAD" w:rsidRDefault="00736BAD">
      <w:pPr>
        <w:spacing w:after="0" w:line="240" w:lineRule="auto"/>
        <w:rPr>
          <w:rFonts w:ascii="Times New Roman" w:hAnsi="Times New Roman"/>
          <w:sz w:val="28"/>
        </w:rPr>
      </w:pPr>
    </w:p>
    <w:p w:rsidR="00736BAD" w:rsidRDefault="0004415F">
      <w:pPr>
        <w:spacing w:after="0" w:line="240" w:lineRule="auto"/>
        <w:ind w:right="29" w:firstLine="709"/>
        <w:jc w:val="both"/>
        <w:rPr>
          <w:rFonts w:ascii="Times New Roman" w:hAnsi="Times New Roman"/>
          <w:sz w:val="28"/>
        </w:rPr>
      </w:pPr>
      <w:r>
        <w:rPr>
          <w:rFonts w:ascii="Times New Roman" w:hAnsi="Times New Roman"/>
          <w:sz w:val="28"/>
        </w:rPr>
        <w:t>На территории Российской Федерации оборот оружия и боеприпасов регулируется Федеральным законом от 13.12.1996 № 150-ФЗ «Об оружии», любое иное обращение с оружием, вне рамок установленные законом, является противоправным.</w:t>
      </w:r>
    </w:p>
    <w:p w:rsidR="00736BAD" w:rsidRDefault="0004415F">
      <w:pPr>
        <w:spacing w:after="0" w:line="240" w:lineRule="auto"/>
        <w:ind w:right="29" w:firstLine="709"/>
        <w:jc w:val="both"/>
        <w:rPr>
          <w:rFonts w:ascii="Times New Roman" w:hAnsi="Times New Roman"/>
          <w:sz w:val="28"/>
        </w:rPr>
      </w:pPr>
      <w:r>
        <w:rPr>
          <w:rFonts w:ascii="Times New Roman" w:hAnsi="Times New Roman"/>
          <w:sz w:val="28"/>
        </w:rPr>
        <w:t>Согласно действующему законодательству под огнестрельным оружием следует понимать, оружие, предназначенное для механического поражения цели на расстоянии метаемым снаряжением, получающим направленное движение за счет энергии порохового или иного заряда; к боеприпасам относятся предметы вооружения и метаемое снаряжение, предназначенные для поражения цели и содержащие разрывной, метательный, пиротехнический или вышибной заряды либо их сочетание.</w:t>
      </w:r>
    </w:p>
    <w:p w:rsidR="00736BAD" w:rsidRDefault="0004415F">
      <w:pPr>
        <w:spacing w:after="0" w:line="240" w:lineRule="auto"/>
        <w:ind w:right="29" w:firstLine="709"/>
        <w:jc w:val="both"/>
        <w:rPr>
          <w:rFonts w:ascii="Times New Roman" w:hAnsi="Times New Roman"/>
          <w:sz w:val="28"/>
        </w:rPr>
      </w:pPr>
      <w:r>
        <w:rPr>
          <w:rFonts w:ascii="Times New Roman" w:hAnsi="Times New Roman"/>
          <w:sz w:val="28"/>
        </w:rPr>
        <w:t>В Уголовный кодекс Российской Федерации (далее – УК РФ) также включены понятия: «комплектующие детали», «взрывные устройства», «газовое оружие», «ядерное», «химическое и биологическое оружие», «другие виды оружия массового поражения».</w:t>
      </w:r>
    </w:p>
    <w:p w:rsidR="00736BAD" w:rsidRDefault="0004415F">
      <w:pPr>
        <w:spacing w:after="0" w:line="240" w:lineRule="auto"/>
        <w:ind w:right="29" w:firstLine="709"/>
        <w:jc w:val="both"/>
        <w:rPr>
          <w:rFonts w:ascii="Times New Roman" w:hAnsi="Times New Roman"/>
          <w:sz w:val="28"/>
        </w:rPr>
      </w:pPr>
      <w:r>
        <w:rPr>
          <w:rFonts w:ascii="Times New Roman" w:hAnsi="Times New Roman"/>
          <w:sz w:val="28"/>
        </w:rPr>
        <w:t xml:space="preserve">Ответственность за незаконные приобретение, передачу, сбыт, хранение, перевозку или ношение оружия, его основных частей, боеприпасов предусмотрена ст. 222 УК РФ, а взрывчатых веществ или взрывных устройств </w:t>
      </w:r>
      <w:r>
        <w:br/>
      </w:r>
      <w:r>
        <w:rPr>
          <w:rFonts w:ascii="Times New Roman" w:hAnsi="Times New Roman"/>
          <w:sz w:val="28"/>
        </w:rPr>
        <w:t>ст. 222.1 УК РФ, за совершение которых предусмотрено наказание от 6 до 8 лет лишения свободы.</w:t>
      </w:r>
    </w:p>
    <w:p w:rsidR="00736BAD" w:rsidRDefault="0004415F">
      <w:pPr>
        <w:spacing w:after="0" w:line="240" w:lineRule="auto"/>
        <w:ind w:right="29" w:firstLine="709"/>
        <w:jc w:val="both"/>
        <w:rPr>
          <w:rFonts w:ascii="Times New Roman" w:hAnsi="Times New Roman"/>
          <w:sz w:val="28"/>
        </w:rPr>
      </w:pPr>
      <w:r>
        <w:rPr>
          <w:rFonts w:ascii="Times New Roman" w:hAnsi="Times New Roman"/>
          <w:sz w:val="28"/>
        </w:rPr>
        <w:t xml:space="preserve">Ответственность за незаконное изготовление оружия установлена                                     ст. 223 УК РФ, а взрывчатых веществ ст. 223.1 УК РФ. Законодателем за совершение указанных преступлений предусмотрена максимальная уголовная ответственность до 10 лет лишения свободы. </w:t>
      </w:r>
    </w:p>
    <w:p w:rsidR="00736BAD" w:rsidRDefault="0004415F">
      <w:pPr>
        <w:spacing w:after="0" w:line="240" w:lineRule="auto"/>
        <w:ind w:right="29" w:firstLine="709"/>
        <w:jc w:val="both"/>
        <w:rPr>
          <w:rFonts w:ascii="Times New Roman" w:hAnsi="Times New Roman"/>
          <w:sz w:val="28"/>
        </w:rPr>
      </w:pPr>
      <w:r>
        <w:rPr>
          <w:rFonts w:ascii="Times New Roman" w:hAnsi="Times New Roman"/>
          <w:sz w:val="28"/>
        </w:rPr>
        <w:t>Ответственность за небрежное хранение огнестрельного оружия, создавшее условия для его использования другим лицом, если это повлекло смерть человека или иные тяжкие последствия предусмотрена ст. 224 УК РФ. Законодателем за совершение указанного преступления предусмотрена максимальная уголовная ответственность до 2 лет лишения свободы. </w:t>
      </w:r>
    </w:p>
    <w:p w:rsidR="00736BAD" w:rsidRDefault="0004415F">
      <w:pPr>
        <w:spacing w:after="0" w:line="240" w:lineRule="auto"/>
        <w:ind w:right="29" w:firstLine="709"/>
        <w:jc w:val="both"/>
        <w:rPr>
          <w:rFonts w:ascii="Times New Roman" w:hAnsi="Times New Roman"/>
          <w:sz w:val="28"/>
        </w:rPr>
      </w:pPr>
      <w:r>
        <w:rPr>
          <w:rFonts w:ascii="Times New Roman" w:hAnsi="Times New Roman"/>
          <w:sz w:val="28"/>
        </w:rPr>
        <w:t>Ответственность за хищение либо вымогательство оружия, боеприпасов, взрывчатых веществ и взрывных устройств предусмотрена ст. 226 УК РФ. Преступление считается оконченным с момента незаконного изъятия и завладения указанными предметами, а в случае вымогательства с момента предъявления требования независимо от того, выполнено оно или нет. Уголовная ответственность за совершение указанного преступления предусмотрена в виде лишения свободы сроком от 3 до 7 лет.</w:t>
      </w:r>
    </w:p>
    <w:p w:rsidR="00736BAD" w:rsidRDefault="0004415F">
      <w:pPr>
        <w:spacing w:after="0" w:line="240" w:lineRule="auto"/>
        <w:ind w:firstLine="708"/>
        <w:jc w:val="both"/>
        <w:rPr>
          <w:rFonts w:ascii="Times New Roman" w:hAnsi="Times New Roman"/>
          <w:sz w:val="28"/>
        </w:rPr>
      </w:pPr>
      <w:r>
        <w:rPr>
          <w:rFonts w:ascii="Times New Roman" w:hAnsi="Times New Roman"/>
          <w:sz w:val="28"/>
        </w:rPr>
        <w:t xml:space="preserve">При этом следует отметить, что лицо, добровольно сдавшее оружие, боеприпасы, взрывчатые вещества освобождается от уголовной ответственности, однако, добровольной сдачей указанных предметов не признается их изъятие при задержании лица, а также при производстве следственных действий по их обнаружению и изъятию. </w:t>
      </w:r>
    </w:p>
    <w:p w:rsidR="00736BAD" w:rsidRDefault="00736BAD">
      <w:pPr>
        <w:spacing w:after="0" w:line="240" w:lineRule="auto"/>
        <w:ind w:firstLine="708"/>
        <w:jc w:val="both"/>
        <w:rPr>
          <w:rFonts w:ascii="Times New Roman" w:hAnsi="Times New Roman"/>
          <w:sz w:val="28"/>
        </w:rPr>
      </w:pPr>
    </w:p>
    <w:p w:rsidR="00736BAD" w:rsidRDefault="0004415F">
      <w:pPr>
        <w:spacing w:after="0" w:line="240" w:lineRule="exact"/>
        <w:rPr>
          <w:rFonts w:ascii="Times New Roman" w:hAnsi="Times New Roman"/>
          <w:color w:val="000000" w:themeColor="text1"/>
          <w:sz w:val="28"/>
        </w:rPr>
      </w:pPr>
      <w:r>
        <w:rPr>
          <w:rFonts w:ascii="Times New Roman" w:hAnsi="Times New Roman"/>
          <w:color w:val="000000" w:themeColor="text1"/>
          <w:sz w:val="28"/>
        </w:rPr>
        <w:t xml:space="preserve">Старший помощник прокурора района </w:t>
      </w:r>
    </w:p>
    <w:p w:rsidR="00736BAD" w:rsidRDefault="00736BAD">
      <w:pPr>
        <w:spacing w:after="0" w:line="160" w:lineRule="exact"/>
        <w:rPr>
          <w:rFonts w:ascii="Times New Roman" w:hAnsi="Times New Roman"/>
          <w:color w:val="000000" w:themeColor="text1"/>
          <w:sz w:val="28"/>
        </w:rPr>
      </w:pPr>
    </w:p>
    <w:p w:rsidR="00736BAD" w:rsidRDefault="0004415F">
      <w:pPr>
        <w:spacing w:after="0"/>
        <w:rPr>
          <w:rFonts w:ascii="Times New Roman" w:hAnsi="Times New Roman"/>
          <w:color w:val="000000" w:themeColor="text1"/>
          <w:sz w:val="28"/>
        </w:rPr>
      </w:pPr>
      <w:r>
        <w:rPr>
          <w:rFonts w:ascii="Times New Roman" w:hAnsi="Times New Roman"/>
          <w:color w:val="000000" w:themeColor="text1"/>
          <w:sz w:val="28"/>
        </w:rPr>
        <w:t xml:space="preserve">юрист 1 класса                                                                                          Н.М. Калачев </w:t>
      </w:r>
    </w:p>
    <w:p w:rsidR="00736BAD" w:rsidRDefault="00736BAD">
      <w:pPr>
        <w:pStyle w:val="ab"/>
        <w:spacing w:line="240" w:lineRule="exact"/>
        <w:ind w:right="140"/>
        <w:jc w:val="both"/>
        <w:rPr>
          <w:rFonts w:ascii="Times New Roman" w:hAnsi="Times New Roman"/>
          <w:sz w:val="20"/>
        </w:rPr>
      </w:pPr>
    </w:p>
    <w:sectPr w:rsidR="00736BAD">
      <w:headerReference w:type="first" r:id="rId6"/>
      <w:footerReference w:type="first" r:id="rId7"/>
      <w:pgSz w:w="11906" w:h="16838"/>
      <w:pgMar w:top="142" w:right="567" w:bottom="256" w:left="1418"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1BC2" w:rsidRDefault="00A81BC2">
      <w:pPr>
        <w:spacing w:after="0" w:line="240" w:lineRule="auto"/>
      </w:pPr>
      <w:r>
        <w:separator/>
      </w:r>
    </w:p>
  </w:endnote>
  <w:endnote w:type="continuationSeparator" w:id="0">
    <w:p w:rsidR="00A81BC2" w:rsidRDefault="00A81B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XO Thames">
    <w:altName w:val="Cambria"/>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6BAD" w:rsidRDefault="00736BAD">
    <w:pPr>
      <w:pStyle w:val="a9"/>
      <w:spacing w:after="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1BC2" w:rsidRDefault="00A81BC2">
      <w:pPr>
        <w:spacing w:after="0" w:line="240" w:lineRule="auto"/>
      </w:pPr>
      <w:r>
        <w:separator/>
      </w:r>
    </w:p>
  </w:footnote>
  <w:footnote w:type="continuationSeparator" w:id="0">
    <w:p w:rsidR="00A81BC2" w:rsidRDefault="00A81B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6BAD" w:rsidRDefault="00736BAD">
    <w:pPr>
      <w:pStyle w:val="af0"/>
      <w:jc w:val="center"/>
    </w:pPr>
  </w:p>
  <w:p w:rsidR="00736BAD" w:rsidRDefault="00736BAD">
    <w:pPr>
      <w:pStyle w:val="af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BAD"/>
    <w:rsid w:val="0004415F"/>
    <w:rsid w:val="0032631B"/>
    <w:rsid w:val="00736BAD"/>
    <w:rsid w:val="00A81BC2"/>
    <w:rsid w:val="00F55E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D772990-6B69-4046-B8CE-1827A6B69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000000"/>
        <w:sz w:val="22"/>
        <w:lang w:val="ru-RU" w:eastAsia="ru-RU" w:bidi="ar-SA"/>
      </w:rPr>
    </w:rPrDefault>
    <w:pPrDefault>
      <w:pPr>
        <w:spacing w:after="16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style>
  <w:style w:type="paragraph" w:styleId="10">
    <w:name w:val="heading 1"/>
    <w:basedOn w:val="a"/>
    <w:next w:val="a"/>
    <w:link w:val="11"/>
    <w:uiPriority w:val="9"/>
    <w:qFormat/>
    <w:pPr>
      <w:keepNext/>
      <w:keepLines/>
      <w:spacing w:before="480" w:after="0"/>
      <w:outlineLvl w:val="0"/>
    </w:pPr>
    <w:rPr>
      <w:rFonts w:asciiTheme="majorHAnsi" w:hAnsiTheme="majorHAnsi"/>
      <w:b/>
      <w:color w:val="2E74B5" w:themeColor="accent1" w:themeShade="BF"/>
      <w:sz w:val="28"/>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basedOn w:val="a"/>
    <w:next w:val="a"/>
    <w:link w:val="30"/>
    <w:uiPriority w:val="9"/>
    <w:qFormat/>
    <w:pPr>
      <w:keepNext/>
      <w:keepLines/>
      <w:spacing w:before="200" w:after="0"/>
      <w:outlineLvl w:val="2"/>
    </w:pPr>
    <w:rPr>
      <w:rFonts w:asciiTheme="majorHAnsi" w:hAnsiTheme="majorHAnsi"/>
      <w:b/>
      <w:color w:val="5B9BD5" w:themeColor="accent1"/>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a3">
    <w:name w:val="Body Text"/>
    <w:basedOn w:val="a"/>
    <w:link w:val="a4"/>
    <w:pPr>
      <w:spacing w:after="120" w:line="240" w:lineRule="auto"/>
    </w:pPr>
    <w:rPr>
      <w:rFonts w:ascii="Times New Roman" w:hAnsi="Times New Roman"/>
      <w:sz w:val="20"/>
    </w:rPr>
  </w:style>
  <w:style w:type="character" w:customStyle="1" w:styleId="a4">
    <w:name w:val="Основной текст Знак"/>
    <w:basedOn w:val="1"/>
    <w:link w:val="a3"/>
    <w:rPr>
      <w:rFonts w:ascii="Times New Roman" w:hAnsi="Times New Roman"/>
      <w:sz w:val="20"/>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23">
    <w:name w:val="Основной текст (2)"/>
    <w:basedOn w:val="a"/>
    <w:link w:val="24"/>
    <w:pPr>
      <w:widowControl w:val="0"/>
      <w:spacing w:after="180" w:line="240" w:lineRule="exact"/>
    </w:pPr>
    <w:rPr>
      <w:sz w:val="26"/>
    </w:rPr>
  </w:style>
  <w:style w:type="character" w:customStyle="1" w:styleId="24">
    <w:name w:val="Основной текст (2)"/>
    <w:basedOn w:val="1"/>
    <w:link w:val="23"/>
    <w:rPr>
      <w:sz w:val="26"/>
    </w:rPr>
  </w:style>
  <w:style w:type="paragraph" w:styleId="a5">
    <w:name w:val="Balloon Text"/>
    <w:basedOn w:val="a"/>
    <w:link w:val="a6"/>
    <w:pPr>
      <w:spacing w:after="0" w:line="240" w:lineRule="auto"/>
    </w:pPr>
    <w:rPr>
      <w:rFonts w:ascii="Tahoma" w:hAnsi="Tahoma"/>
      <w:sz w:val="16"/>
    </w:rPr>
  </w:style>
  <w:style w:type="character" w:customStyle="1" w:styleId="a6">
    <w:name w:val="Текст выноски Знак"/>
    <w:basedOn w:val="1"/>
    <w:link w:val="a5"/>
    <w:rPr>
      <w:rFonts w:ascii="Tahoma" w:hAnsi="Tahoma"/>
      <w:sz w:val="16"/>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basedOn w:val="1"/>
    <w:link w:val="3"/>
    <w:rPr>
      <w:rFonts w:asciiTheme="majorHAnsi" w:hAnsiTheme="majorHAnsi"/>
      <w:b/>
      <w:color w:val="5B9BD5" w:themeColor="accent1"/>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styleId="a7">
    <w:name w:val="Normal (Web)"/>
    <w:basedOn w:val="a"/>
    <w:link w:val="a8"/>
    <w:pPr>
      <w:spacing w:beforeAutospacing="1" w:afterAutospacing="1" w:line="240" w:lineRule="auto"/>
    </w:pPr>
    <w:rPr>
      <w:rFonts w:ascii="Times New Roman" w:hAnsi="Times New Roman"/>
      <w:sz w:val="24"/>
    </w:rPr>
  </w:style>
  <w:style w:type="character" w:customStyle="1" w:styleId="a8">
    <w:name w:val="Обычный (веб) Знак"/>
    <w:basedOn w:val="1"/>
    <w:link w:val="a7"/>
    <w:rPr>
      <w:rFonts w:ascii="Times New Roman" w:hAnsi="Times New Roman"/>
      <w:sz w:val="24"/>
    </w:rPr>
  </w:style>
  <w:style w:type="paragraph" w:customStyle="1" w:styleId="12">
    <w:name w:val="Основной шрифт абзаца1"/>
  </w:style>
  <w:style w:type="paragraph" w:customStyle="1" w:styleId="FontStyle26">
    <w:name w:val="Font Style26"/>
    <w:link w:val="FontStyle260"/>
    <w:rPr>
      <w:rFonts w:ascii="Times New Roman" w:hAnsi="Times New Roman"/>
      <w:sz w:val="26"/>
    </w:rPr>
  </w:style>
  <w:style w:type="character" w:customStyle="1" w:styleId="FontStyle260">
    <w:name w:val="Font Style26"/>
    <w:link w:val="FontStyle26"/>
    <w:rPr>
      <w:rFonts w:ascii="Times New Roman" w:hAnsi="Times New Roman"/>
      <w:sz w:val="26"/>
    </w:rPr>
  </w:style>
  <w:style w:type="paragraph" w:styleId="a9">
    <w:name w:val="footer"/>
    <w:basedOn w:val="a"/>
    <w:link w:val="aa"/>
    <w:pPr>
      <w:tabs>
        <w:tab w:val="center" w:pos="4677"/>
        <w:tab w:val="right" w:pos="9355"/>
      </w:tabs>
      <w:spacing w:after="0" w:line="240" w:lineRule="auto"/>
    </w:pPr>
  </w:style>
  <w:style w:type="character" w:customStyle="1" w:styleId="aa">
    <w:name w:val="Нижний колонтитул Знак"/>
    <w:basedOn w:val="1"/>
    <w:link w:val="a9"/>
  </w:style>
  <w:style w:type="character" w:customStyle="1" w:styleId="50">
    <w:name w:val="Заголовок 5 Знак"/>
    <w:link w:val="5"/>
    <w:rPr>
      <w:rFonts w:ascii="XO Thames" w:hAnsi="XO Thames"/>
      <w:b/>
      <w:sz w:val="22"/>
    </w:rPr>
  </w:style>
  <w:style w:type="paragraph" w:styleId="ab">
    <w:name w:val="No Spacing"/>
    <w:link w:val="ac"/>
    <w:pPr>
      <w:spacing w:after="0" w:line="240" w:lineRule="auto"/>
    </w:pPr>
    <w:rPr>
      <w:rFonts w:ascii="Calibri" w:hAnsi="Calibri"/>
    </w:rPr>
  </w:style>
  <w:style w:type="character" w:customStyle="1" w:styleId="ac">
    <w:name w:val="Без интервала Знак"/>
    <w:link w:val="ab"/>
    <w:rPr>
      <w:rFonts w:ascii="Calibri" w:hAnsi="Calibri"/>
    </w:rPr>
  </w:style>
  <w:style w:type="character" w:customStyle="1" w:styleId="11">
    <w:name w:val="Заголовок 1 Знак"/>
    <w:basedOn w:val="1"/>
    <w:link w:val="10"/>
    <w:rPr>
      <w:rFonts w:asciiTheme="majorHAnsi" w:hAnsiTheme="majorHAnsi"/>
      <w:b/>
      <w:color w:val="2E74B5" w:themeColor="accent1" w:themeShade="BF"/>
      <w:sz w:val="28"/>
    </w:rPr>
  </w:style>
  <w:style w:type="paragraph" w:customStyle="1" w:styleId="13">
    <w:name w:val="Неразрешенное упоминание1"/>
    <w:basedOn w:val="12"/>
    <w:link w:val="14"/>
    <w:rPr>
      <w:color w:val="605E5C"/>
      <w:shd w:val="clear" w:color="auto" w:fill="E1DFDD"/>
    </w:rPr>
  </w:style>
  <w:style w:type="character" w:customStyle="1" w:styleId="14">
    <w:name w:val="Неразрешенное упоминание1"/>
    <w:basedOn w:val="a0"/>
    <w:link w:val="13"/>
    <w:rPr>
      <w:color w:val="605E5C"/>
      <w:shd w:val="clear" w:color="auto" w:fill="E1DFDD"/>
    </w:rPr>
  </w:style>
  <w:style w:type="paragraph" w:customStyle="1" w:styleId="15">
    <w:name w:val="Гиперссылка1"/>
    <w:basedOn w:val="12"/>
    <w:link w:val="ad"/>
    <w:rPr>
      <w:color w:val="0563C1" w:themeColor="hyperlink"/>
      <w:u w:val="single"/>
    </w:rPr>
  </w:style>
  <w:style w:type="character" w:styleId="ad">
    <w:name w:val="Hyperlink"/>
    <w:basedOn w:val="a0"/>
    <w:link w:val="15"/>
    <w:rPr>
      <w:color w:val="0563C1" w:themeColor="hyperlink"/>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6">
    <w:name w:val="toc 1"/>
    <w:next w:val="a"/>
    <w:link w:val="17"/>
    <w:uiPriority w:val="39"/>
    <w:rPr>
      <w:rFonts w:ascii="XO Thames" w:hAnsi="XO Thames"/>
      <w:b/>
      <w:sz w:val="28"/>
    </w:rPr>
  </w:style>
  <w:style w:type="character" w:customStyle="1" w:styleId="17">
    <w:name w:val="Оглавление 1 Знак"/>
    <w:link w:val="16"/>
    <w:rPr>
      <w:rFonts w:ascii="XO Thames" w:hAnsi="XO Thames"/>
      <w:b/>
      <w:sz w:val="28"/>
    </w:rPr>
  </w:style>
  <w:style w:type="paragraph" w:customStyle="1" w:styleId="Textbody">
    <w:name w:val="Text body"/>
    <w:basedOn w:val="a"/>
    <w:link w:val="Textbody0"/>
    <w:pPr>
      <w:spacing w:after="120" w:line="240" w:lineRule="auto"/>
    </w:pPr>
    <w:rPr>
      <w:rFonts w:ascii="Times New Roman" w:hAnsi="Times New Roman"/>
      <w:sz w:val="24"/>
    </w:rPr>
  </w:style>
  <w:style w:type="character" w:customStyle="1" w:styleId="Textbody0">
    <w:name w:val="Text body"/>
    <w:basedOn w:val="1"/>
    <w:link w:val="Textbody"/>
    <w:rPr>
      <w:rFonts w:ascii="Times New Roman" w:hAnsi="Times New Roman"/>
      <w:sz w:val="24"/>
    </w:rPr>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snippetequal">
    <w:name w:val="snippet_equal"/>
    <w:basedOn w:val="12"/>
    <w:link w:val="snippetequal0"/>
  </w:style>
  <w:style w:type="character" w:customStyle="1" w:styleId="snippetequal0">
    <w:name w:val="snippet_equal"/>
    <w:basedOn w:val="a0"/>
    <w:link w:val="snippetequal"/>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FontStyle78">
    <w:name w:val="Font Style78"/>
    <w:basedOn w:val="12"/>
    <w:link w:val="FontStyle780"/>
    <w:rPr>
      <w:rFonts w:ascii="Times New Roman" w:hAnsi="Times New Roman"/>
      <w:sz w:val="26"/>
    </w:rPr>
  </w:style>
  <w:style w:type="character" w:customStyle="1" w:styleId="FontStyle780">
    <w:name w:val="Font Style78"/>
    <w:basedOn w:val="a0"/>
    <w:link w:val="FontStyle78"/>
    <w:rPr>
      <w:rFonts w:ascii="Times New Roman" w:hAnsi="Times New Roman"/>
      <w:sz w:val="26"/>
    </w:rPr>
  </w:style>
  <w:style w:type="paragraph" w:customStyle="1" w:styleId="18">
    <w:name w:val="Заголовок1"/>
    <w:basedOn w:val="12"/>
    <w:link w:val="19"/>
  </w:style>
  <w:style w:type="character" w:customStyle="1" w:styleId="19">
    <w:name w:val="Заголовок1"/>
    <w:basedOn w:val="a0"/>
    <w:link w:val="18"/>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1a">
    <w:name w:val="Основной текст1"/>
    <w:basedOn w:val="a"/>
    <w:link w:val="1b"/>
    <w:pPr>
      <w:spacing w:before="1140" w:after="0" w:line="312" w:lineRule="exact"/>
      <w:ind w:left="340" w:hanging="340"/>
      <w:jc w:val="both"/>
    </w:pPr>
    <w:rPr>
      <w:sz w:val="26"/>
    </w:rPr>
  </w:style>
  <w:style w:type="character" w:customStyle="1" w:styleId="1b">
    <w:name w:val="Основной текст1"/>
    <w:basedOn w:val="1"/>
    <w:link w:val="1a"/>
    <w:rPr>
      <w:sz w:val="26"/>
    </w:rPr>
  </w:style>
  <w:style w:type="paragraph" w:customStyle="1" w:styleId="Style8">
    <w:name w:val="Style8"/>
    <w:basedOn w:val="a"/>
    <w:link w:val="Style80"/>
    <w:pPr>
      <w:widowControl w:val="0"/>
      <w:spacing w:after="0" w:line="322" w:lineRule="exact"/>
      <w:ind w:firstLine="922"/>
      <w:jc w:val="both"/>
    </w:pPr>
    <w:rPr>
      <w:rFonts w:ascii="Times New Roman" w:hAnsi="Times New Roman"/>
      <w:sz w:val="24"/>
    </w:rPr>
  </w:style>
  <w:style w:type="character" w:customStyle="1" w:styleId="Style80">
    <w:name w:val="Style8"/>
    <w:basedOn w:val="1"/>
    <w:link w:val="Style8"/>
    <w:rPr>
      <w:rFonts w:ascii="Times New Roman" w:hAnsi="Times New Roman"/>
      <w:sz w:val="24"/>
    </w:rPr>
  </w:style>
  <w:style w:type="paragraph" w:customStyle="1" w:styleId="link">
    <w:name w:val="link"/>
    <w:basedOn w:val="12"/>
    <w:link w:val="link0"/>
  </w:style>
  <w:style w:type="character" w:customStyle="1" w:styleId="link0">
    <w:name w:val="link"/>
    <w:basedOn w:val="a0"/>
    <w:link w:val="link"/>
  </w:style>
  <w:style w:type="paragraph" w:styleId="ae">
    <w:name w:val="Subtitle"/>
    <w:next w:val="a"/>
    <w:link w:val="af"/>
    <w:uiPriority w:val="11"/>
    <w:qFormat/>
    <w:pPr>
      <w:jc w:val="both"/>
    </w:pPr>
    <w:rPr>
      <w:rFonts w:ascii="XO Thames" w:hAnsi="XO Thames"/>
      <w:i/>
      <w:sz w:val="24"/>
    </w:rPr>
  </w:style>
  <w:style w:type="character" w:customStyle="1" w:styleId="af">
    <w:name w:val="Подзаголовок Знак"/>
    <w:link w:val="ae"/>
    <w:rPr>
      <w:rFonts w:ascii="XO Thames" w:hAnsi="XO Thames"/>
      <w:i/>
      <w:sz w:val="24"/>
    </w:rPr>
  </w:style>
  <w:style w:type="paragraph" w:styleId="af0">
    <w:name w:val="header"/>
    <w:basedOn w:val="a"/>
    <w:link w:val="af1"/>
    <w:pPr>
      <w:tabs>
        <w:tab w:val="center" w:pos="4677"/>
        <w:tab w:val="right" w:pos="9355"/>
      </w:tabs>
      <w:spacing w:after="0" w:line="240" w:lineRule="auto"/>
    </w:pPr>
  </w:style>
  <w:style w:type="character" w:customStyle="1" w:styleId="af1">
    <w:name w:val="Верхний колонтитул Знак"/>
    <w:basedOn w:val="1"/>
    <w:link w:val="af0"/>
  </w:style>
  <w:style w:type="paragraph" w:customStyle="1" w:styleId="apple-converted-space">
    <w:name w:val="apple-converted-space"/>
    <w:basedOn w:val="12"/>
    <w:link w:val="apple-converted-space0"/>
  </w:style>
  <w:style w:type="character" w:customStyle="1" w:styleId="apple-converted-space0">
    <w:name w:val="apple-converted-space"/>
    <w:basedOn w:val="a0"/>
    <w:link w:val="apple-converted-space"/>
  </w:style>
  <w:style w:type="paragraph" w:customStyle="1" w:styleId="ConsPlusNormal">
    <w:name w:val="ConsPlusNormal"/>
    <w:link w:val="ConsPlusNormal0"/>
    <w:pPr>
      <w:widowControl w:val="0"/>
      <w:spacing w:after="0" w:line="240" w:lineRule="auto"/>
      <w:ind w:firstLine="720"/>
    </w:pPr>
    <w:rPr>
      <w:rFonts w:ascii="Arial" w:hAnsi="Arial"/>
      <w:sz w:val="20"/>
    </w:rPr>
  </w:style>
  <w:style w:type="character" w:customStyle="1" w:styleId="ConsPlusNormal0">
    <w:name w:val="ConsPlusNormal"/>
    <w:link w:val="ConsPlusNormal"/>
    <w:rPr>
      <w:rFonts w:ascii="Arial" w:hAnsi="Arial"/>
      <w:sz w:val="20"/>
    </w:rPr>
  </w:style>
  <w:style w:type="paragraph" w:styleId="af2">
    <w:name w:val="Title"/>
    <w:next w:val="a"/>
    <w:link w:val="af3"/>
    <w:uiPriority w:val="10"/>
    <w:qFormat/>
    <w:pPr>
      <w:spacing w:before="567" w:after="567"/>
      <w:jc w:val="center"/>
    </w:pPr>
    <w:rPr>
      <w:rFonts w:ascii="XO Thames" w:hAnsi="XO Thames"/>
      <w:b/>
      <w:caps/>
      <w:sz w:val="40"/>
    </w:rPr>
  </w:style>
  <w:style w:type="character" w:customStyle="1" w:styleId="af3">
    <w:name w:val="Заголовок Знак"/>
    <w:link w:val="af2"/>
    <w:rPr>
      <w:rFonts w:ascii="XO Thames" w:hAnsi="XO Thames"/>
      <w:b/>
      <w:caps/>
      <w:sz w:val="40"/>
    </w:rPr>
  </w:style>
  <w:style w:type="character" w:customStyle="1" w:styleId="40">
    <w:name w:val="Заголовок 4 Знак"/>
    <w:link w:val="4"/>
    <w:rPr>
      <w:rFonts w:ascii="XO Thames" w:hAnsi="XO Thames"/>
      <w:b/>
      <w:sz w:val="24"/>
    </w:rPr>
  </w:style>
  <w:style w:type="paragraph" w:customStyle="1" w:styleId="150">
    <w:name w:val="Основной текст15"/>
    <w:basedOn w:val="a"/>
    <w:link w:val="151"/>
    <w:pPr>
      <w:spacing w:after="180" w:line="0" w:lineRule="atLeast"/>
      <w:jc w:val="center"/>
    </w:pPr>
    <w:rPr>
      <w:rFonts w:ascii="Times New Roman" w:hAnsi="Times New Roman"/>
      <w:sz w:val="26"/>
    </w:rPr>
  </w:style>
  <w:style w:type="character" w:customStyle="1" w:styleId="151">
    <w:name w:val="Основной текст15"/>
    <w:basedOn w:val="1"/>
    <w:link w:val="150"/>
    <w:rPr>
      <w:rFonts w:ascii="Times New Roman" w:hAnsi="Times New Roman"/>
      <w:sz w:val="26"/>
    </w:rPr>
  </w:style>
  <w:style w:type="paragraph" w:styleId="af4">
    <w:name w:val="List Paragraph"/>
    <w:basedOn w:val="a"/>
    <w:link w:val="af5"/>
    <w:pPr>
      <w:spacing w:after="200" w:line="276" w:lineRule="auto"/>
      <w:ind w:left="720"/>
      <w:contextualSpacing/>
    </w:pPr>
  </w:style>
  <w:style w:type="character" w:customStyle="1" w:styleId="af5">
    <w:name w:val="Абзац списка Знак"/>
    <w:basedOn w:val="1"/>
    <w:link w:val="af4"/>
  </w:style>
  <w:style w:type="character" w:customStyle="1" w:styleId="20">
    <w:name w:val="Заголовок 2 Знак"/>
    <w:link w:val="2"/>
    <w:rPr>
      <w:rFonts w:ascii="XO Thames" w:hAnsi="XO Thames"/>
      <w:b/>
      <w:sz w:val="28"/>
    </w:rPr>
  </w:style>
  <w:style w:type="table" w:styleId="af6">
    <w:name w:val="Table Grid"/>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424</Words>
  <Characters>2417</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Прокуратура РФ</Company>
  <LinksUpToDate>false</LinksUpToDate>
  <CharactersWithSpaces>2836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2025-10-27T06:20:00Z</dcterms:created>
  <dcterms:modified xsi:type="dcterms:W3CDTF">2025-10-27T06:20:00Z</dcterms:modified>
</cp:coreProperties>
</file>